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4BBC" w14:textId="4CFFDD21" w:rsidR="00080396" w:rsidRDefault="00305777" w:rsidP="009C4507">
      <w:pPr>
        <w:jc w:val="center"/>
        <w:rPr>
          <w:b/>
          <w:bCs/>
          <w:color w:val="244061" w:themeColor="accent1" w:themeShade="80"/>
          <w:sz w:val="36"/>
          <w:szCs w:val="36"/>
        </w:rPr>
      </w:pPr>
      <w:r w:rsidRPr="00305777">
        <w:rPr>
          <w:b/>
          <w:bCs/>
          <w:color w:val="244061" w:themeColor="accent1" w:themeShade="80"/>
          <w:sz w:val="36"/>
          <w:szCs w:val="36"/>
        </w:rPr>
        <w:t>Volunteer Coordinator</w:t>
      </w:r>
    </w:p>
    <w:p w14:paraId="52F0AC90" w14:textId="77777777" w:rsidR="009C4507" w:rsidRPr="00080396" w:rsidRDefault="009C4507" w:rsidP="009C4507">
      <w:pPr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76E1E661" w14:textId="02A0AFD2" w:rsidR="00080396" w:rsidRPr="006E3A08" w:rsidRDefault="00080396" w:rsidP="00080396">
      <w:pPr>
        <w:rPr>
          <w:b/>
          <w:bCs/>
          <w:color w:val="244061" w:themeColor="accent1" w:themeShade="80"/>
          <w:sz w:val="28"/>
          <w:szCs w:val="28"/>
        </w:rPr>
      </w:pPr>
      <w:r w:rsidRPr="006E3A08">
        <w:rPr>
          <w:b/>
          <w:bCs/>
          <w:color w:val="244061" w:themeColor="accent1" w:themeShade="80"/>
          <w:sz w:val="28"/>
          <w:szCs w:val="28"/>
        </w:rPr>
        <w:t>The role</w:t>
      </w:r>
    </w:p>
    <w:p w14:paraId="530DC4E7" w14:textId="0C012918" w:rsidR="00187013" w:rsidRDefault="00187013" w:rsidP="00187013">
      <w:pPr>
        <w:rPr>
          <w:color w:val="244061" w:themeColor="accent1" w:themeShade="80"/>
        </w:rPr>
      </w:pPr>
      <w:r w:rsidRPr="00187013">
        <w:rPr>
          <w:color w:val="244061" w:themeColor="accent1" w:themeShade="80"/>
        </w:rPr>
        <w:t xml:space="preserve">The British American Football Association (BAFA) is the recognised National Governing Body for the sport of American </w:t>
      </w:r>
      <w:r>
        <w:rPr>
          <w:color w:val="244061" w:themeColor="accent1" w:themeShade="80"/>
        </w:rPr>
        <w:t>f</w:t>
      </w:r>
      <w:r w:rsidRPr="00187013">
        <w:rPr>
          <w:color w:val="244061" w:themeColor="accent1" w:themeShade="80"/>
        </w:rPr>
        <w:t>ootball in the UK, both contact and flag. BAFA is responsible for all regulatory, competition, performance and development aspects of the game.</w:t>
      </w:r>
    </w:p>
    <w:p w14:paraId="23922AD4" w14:textId="77777777" w:rsidR="00187013" w:rsidRPr="00187013" w:rsidRDefault="00187013" w:rsidP="00187013">
      <w:pPr>
        <w:rPr>
          <w:color w:val="244061" w:themeColor="accent1" w:themeShade="80"/>
        </w:rPr>
      </w:pPr>
    </w:p>
    <w:p w14:paraId="240FE145" w14:textId="2A4B8F00" w:rsidR="00080396" w:rsidRDefault="00187013" w:rsidP="00187013">
      <w:pPr>
        <w:rPr>
          <w:color w:val="244061" w:themeColor="accent1" w:themeShade="80"/>
        </w:rPr>
      </w:pPr>
      <w:r w:rsidRPr="00187013">
        <w:rPr>
          <w:color w:val="244061" w:themeColor="accent1" w:themeShade="80"/>
        </w:rPr>
        <w:t xml:space="preserve">The organisation has been undertaking an exciting governance transformation over the </w:t>
      </w:r>
      <w:r>
        <w:rPr>
          <w:color w:val="244061" w:themeColor="accent1" w:themeShade="80"/>
        </w:rPr>
        <w:t>p</w:t>
      </w:r>
      <w:r w:rsidRPr="00187013">
        <w:rPr>
          <w:color w:val="244061" w:themeColor="accent1" w:themeShade="80"/>
        </w:rPr>
        <w:t xml:space="preserve">ast few years and is looking to bring on board a Volunteer Coordinator who will help support, coordinate, and grow our volunteer team within the BAFA. Working with the Executive team and </w:t>
      </w:r>
      <w:r>
        <w:rPr>
          <w:color w:val="244061" w:themeColor="accent1" w:themeShade="80"/>
        </w:rPr>
        <w:t>B</w:t>
      </w:r>
      <w:r w:rsidRPr="00187013">
        <w:rPr>
          <w:color w:val="244061" w:themeColor="accent1" w:themeShade="80"/>
        </w:rPr>
        <w:t>oard</w:t>
      </w:r>
      <w:r>
        <w:rPr>
          <w:color w:val="244061" w:themeColor="accent1" w:themeShade="80"/>
        </w:rPr>
        <w:t>,</w:t>
      </w:r>
      <w:r w:rsidRPr="00187013">
        <w:rPr>
          <w:color w:val="244061" w:themeColor="accent1" w:themeShade="80"/>
        </w:rPr>
        <w:t xml:space="preserve"> you will support the organisation ensuring our sport has the right people in the right roles and are recognised for their contributions.</w:t>
      </w:r>
    </w:p>
    <w:p w14:paraId="20123241" w14:textId="751EA008" w:rsidR="00644EFB" w:rsidRDefault="00644EFB" w:rsidP="00080396">
      <w:pPr>
        <w:rPr>
          <w:color w:val="244061" w:themeColor="accent1" w:themeShade="80"/>
        </w:rPr>
      </w:pPr>
    </w:p>
    <w:p w14:paraId="26AADBBE" w14:textId="35CFFE09" w:rsidR="006E3A08" w:rsidRPr="00187013" w:rsidRDefault="006E3A08" w:rsidP="00080396">
      <w:pPr>
        <w:rPr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 xml:space="preserve">Responsible to: </w:t>
      </w:r>
      <w:r w:rsidR="00187013">
        <w:rPr>
          <w:color w:val="244061" w:themeColor="accent1" w:themeShade="80"/>
        </w:rPr>
        <w:t>Nichole McCulloch, BAFA Chair</w:t>
      </w:r>
    </w:p>
    <w:p w14:paraId="1CA43D7F" w14:textId="0D7FBCA9" w:rsidR="006E3A08" w:rsidRPr="00187013" w:rsidRDefault="006E3A08" w:rsidP="00080396">
      <w:pPr>
        <w:rPr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 xml:space="preserve">Length of term: </w:t>
      </w:r>
      <w:r w:rsidR="00187013">
        <w:rPr>
          <w:color w:val="244061" w:themeColor="accent1" w:themeShade="80"/>
        </w:rPr>
        <w:t>Open</w:t>
      </w:r>
    </w:p>
    <w:p w14:paraId="32EE4A7E" w14:textId="642CD316" w:rsidR="00644EFB" w:rsidRDefault="00644EFB" w:rsidP="00080396">
      <w:pPr>
        <w:rPr>
          <w:color w:val="244061" w:themeColor="accent1" w:themeShade="80"/>
        </w:rPr>
      </w:pPr>
      <w:r w:rsidRPr="006E3A08">
        <w:rPr>
          <w:b/>
          <w:bCs/>
          <w:color w:val="244061" w:themeColor="accent1" w:themeShade="80"/>
        </w:rPr>
        <w:t>Position type:</w:t>
      </w:r>
      <w:r>
        <w:rPr>
          <w:color w:val="244061" w:themeColor="accent1" w:themeShade="80"/>
        </w:rPr>
        <w:t xml:space="preserve"> Voluntary</w:t>
      </w:r>
    </w:p>
    <w:p w14:paraId="406F94F1" w14:textId="77777777" w:rsidR="00080396" w:rsidRDefault="00080396" w:rsidP="00080396">
      <w:pPr>
        <w:rPr>
          <w:color w:val="244061" w:themeColor="accent1" w:themeShade="80"/>
        </w:rPr>
      </w:pPr>
    </w:p>
    <w:p w14:paraId="0A5388CB" w14:textId="2D7F513D" w:rsidR="00080396" w:rsidRPr="009C4507" w:rsidRDefault="00080396" w:rsidP="00080396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Responsibilities</w:t>
      </w:r>
    </w:p>
    <w:p w14:paraId="2B5E3034" w14:textId="77777777" w:rsidR="00187013" w:rsidRPr="00187013" w:rsidRDefault="00187013" w:rsidP="00187013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Supporting the Executive and Board on sourcing and recruiting volunteers through various techniques</w:t>
      </w:r>
    </w:p>
    <w:p w14:paraId="4D2DA15F" w14:textId="77777777" w:rsidR="00187013" w:rsidRPr="00187013" w:rsidRDefault="00187013" w:rsidP="00187013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Collecting information on availabilities and skills to ensure we are proactively recruiting volunteers</w:t>
      </w:r>
    </w:p>
    <w:p w14:paraId="3A69D12F" w14:textId="77777777" w:rsidR="00187013" w:rsidRPr="00187013" w:rsidRDefault="00187013" w:rsidP="00187013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Keeping detailed records of volunteers’ information and assignments</w:t>
      </w:r>
    </w:p>
    <w:p w14:paraId="4E46EEF0" w14:textId="77777777" w:rsidR="00187013" w:rsidRPr="00187013" w:rsidRDefault="00187013" w:rsidP="00187013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Maintaining the Volunteer Database of current volunteers and potential volunteers</w:t>
      </w:r>
    </w:p>
    <w:p w14:paraId="7C2BFE56" w14:textId="77777777" w:rsidR="00187013" w:rsidRPr="00187013" w:rsidRDefault="00187013" w:rsidP="00187013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Coordinating the Volunteers Handbook for new volunteers and all other relevant paperwork</w:t>
      </w:r>
    </w:p>
    <w:p w14:paraId="0EB0CFAD" w14:textId="77777777" w:rsidR="00187013" w:rsidRPr="00187013" w:rsidRDefault="00187013" w:rsidP="00187013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 xml:space="preserve">Identifying and arranging for appropriate training when needed </w:t>
      </w:r>
    </w:p>
    <w:p w14:paraId="51B1A52C" w14:textId="77777777" w:rsidR="00187013" w:rsidRPr="00187013" w:rsidRDefault="00187013" w:rsidP="00187013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Communicating frequently with volunteers to ensure they are satisfied and well-placed</w:t>
      </w:r>
    </w:p>
    <w:p w14:paraId="2223272E" w14:textId="47A26944" w:rsidR="00080396" w:rsidRPr="00187013" w:rsidRDefault="00187013" w:rsidP="00080396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Developing a method for rewarding and recognising volunteers</w:t>
      </w:r>
    </w:p>
    <w:p w14:paraId="4D388D78" w14:textId="10BA6A95" w:rsidR="00080396" w:rsidRDefault="00080396" w:rsidP="00080396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Requirements</w:t>
      </w:r>
    </w:p>
    <w:p w14:paraId="00125E5A" w14:textId="77777777" w:rsidR="00187013" w:rsidRPr="00187013" w:rsidRDefault="00187013" w:rsidP="001870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 xml:space="preserve">Experience with HR would be desirable but not required </w:t>
      </w:r>
    </w:p>
    <w:p w14:paraId="5BBA57BE" w14:textId="77777777" w:rsidR="00187013" w:rsidRPr="00187013" w:rsidRDefault="00187013" w:rsidP="001870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Working knowledge of databases and MS Office (especially Excel)</w:t>
      </w:r>
    </w:p>
    <w:p w14:paraId="16C504F2" w14:textId="77777777" w:rsidR="00187013" w:rsidRPr="00187013" w:rsidRDefault="00187013" w:rsidP="001870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Able to communicate effectively with diverse people</w:t>
      </w:r>
    </w:p>
    <w:p w14:paraId="1F5B6EC4" w14:textId="77777777" w:rsidR="00187013" w:rsidRPr="00187013" w:rsidRDefault="00187013" w:rsidP="001870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Excellent organisational and team coordination abilities</w:t>
      </w:r>
    </w:p>
    <w:p w14:paraId="11B5072F" w14:textId="77777777" w:rsidR="00187013" w:rsidRPr="00187013" w:rsidRDefault="00187013" w:rsidP="00187013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A pleasant, outgoing personality</w:t>
      </w:r>
    </w:p>
    <w:p w14:paraId="77B660BC" w14:textId="5B871359" w:rsidR="00080396" w:rsidRPr="00080396" w:rsidRDefault="00080396" w:rsidP="00080396">
      <w:pPr>
        <w:rPr>
          <w:color w:val="244061" w:themeColor="accent1" w:themeShade="80"/>
        </w:rPr>
      </w:pPr>
    </w:p>
    <w:p w14:paraId="0E165381" w14:textId="2780BC09" w:rsidR="00080396" w:rsidRDefault="00080396" w:rsidP="00080396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lastRenderedPageBreak/>
        <w:t xml:space="preserve">Key competencies </w:t>
      </w:r>
    </w:p>
    <w:p w14:paraId="3D5C6339" w14:textId="77777777" w:rsidR="00187013" w:rsidRPr="00187013" w:rsidRDefault="00187013" w:rsidP="00187013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High level of integrity.</w:t>
      </w:r>
    </w:p>
    <w:p w14:paraId="1C574BE3" w14:textId="77777777" w:rsidR="00187013" w:rsidRPr="00187013" w:rsidRDefault="00187013" w:rsidP="00187013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 xml:space="preserve">Excellent leadership skills. </w:t>
      </w:r>
    </w:p>
    <w:p w14:paraId="5C07168F" w14:textId="2FB9B696" w:rsidR="00187013" w:rsidRPr="00187013" w:rsidRDefault="00187013" w:rsidP="00187013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 xml:space="preserve">Be able communicate concisely, effectively and with transparency </w:t>
      </w:r>
    </w:p>
    <w:p w14:paraId="16F956A6" w14:textId="029E6C31" w:rsidR="00187013" w:rsidRPr="00187013" w:rsidRDefault="00187013" w:rsidP="00187013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Act as a positive role model for the sport</w:t>
      </w:r>
    </w:p>
    <w:p w14:paraId="767DEAF4" w14:textId="12A94329" w:rsidR="00187013" w:rsidRPr="00187013" w:rsidRDefault="00187013" w:rsidP="00187013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Take responsibility and be accountable for collective actions</w:t>
      </w:r>
    </w:p>
    <w:p w14:paraId="57AB8BE0" w14:textId="563545A3" w:rsidR="00187013" w:rsidRPr="00187013" w:rsidRDefault="00187013" w:rsidP="00187013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Be able to work in partnership to develop solutions to challenges</w:t>
      </w:r>
    </w:p>
    <w:p w14:paraId="6B21E651" w14:textId="77777777" w:rsidR="00187013" w:rsidRPr="00187013" w:rsidRDefault="00187013" w:rsidP="00187013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Demonstrable commitment to ethics within sport.</w:t>
      </w:r>
    </w:p>
    <w:p w14:paraId="0E8D9861" w14:textId="31C4A757" w:rsidR="00187013" w:rsidRPr="00187013" w:rsidRDefault="00187013" w:rsidP="00187013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>Demonstrable commitment to equal opportunities and equity</w:t>
      </w:r>
    </w:p>
    <w:p w14:paraId="4C56AE72" w14:textId="46E74812" w:rsidR="00080396" w:rsidRPr="00187013" w:rsidRDefault="00187013" w:rsidP="00080396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color w:val="244061" w:themeColor="accent1" w:themeShade="80"/>
        </w:rPr>
      </w:pPr>
      <w:r w:rsidRPr="00187013">
        <w:rPr>
          <w:rFonts w:ascii="Arial" w:hAnsi="Arial" w:cs="Arial"/>
          <w:color w:val="244061" w:themeColor="accent1" w:themeShade="80"/>
        </w:rPr>
        <w:t xml:space="preserve">Enthusiasm for sport </w:t>
      </w:r>
      <w:r>
        <w:rPr>
          <w:rFonts w:ascii="Arial" w:hAnsi="Arial" w:cs="Arial"/>
          <w:color w:val="244061" w:themeColor="accent1" w:themeShade="80"/>
        </w:rPr>
        <w:t xml:space="preserve">of </w:t>
      </w:r>
      <w:r w:rsidRPr="00187013">
        <w:rPr>
          <w:rFonts w:ascii="Arial" w:hAnsi="Arial" w:cs="Arial"/>
          <w:color w:val="244061" w:themeColor="accent1" w:themeShade="80"/>
        </w:rPr>
        <w:t xml:space="preserve">American </w:t>
      </w:r>
      <w:r>
        <w:rPr>
          <w:rFonts w:ascii="Arial" w:hAnsi="Arial" w:cs="Arial"/>
          <w:color w:val="244061" w:themeColor="accent1" w:themeShade="80"/>
        </w:rPr>
        <w:t>f</w:t>
      </w:r>
      <w:r w:rsidRPr="00187013">
        <w:rPr>
          <w:rFonts w:ascii="Arial" w:hAnsi="Arial" w:cs="Arial"/>
          <w:color w:val="244061" w:themeColor="accent1" w:themeShade="80"/>
        </w:rPr>
        <w:t>ootball</w:t>
      </w:r>
    </w:p>
    <w:p w14:paraId="6BE927AC" w14:textId="77777777" w:rsidR="00187013" w:rsidRDefault="00187013" w:rsidP="00080396">
      <w:pPr>
        <w:rPr>
          <w:b/>
          <w:bCs/>
          <w:color w:val="244061" w:themeColor="accent1" w:themeShade="80"/>
          <w:sz w:val="28"/>
          <w:szCs w:val="28"/>
        </w:rPr>
      </w:pPr>
    </w:p>
    <w:p w14:paraId="3FEE9391" w14:textId="19DDC55C" w:rsidR="009C4507" w:rsidRPr="009C4507" w:rsidRDefault="00080396" w:rsidP="00080396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 xml:space="preserve">Diversity and </w:t>
      </w:r>
      <w:r w:rsidR="009C4507">
        <w:rPr>
          <w:b/>
          <w:bCs/>
          <w:color w:val="244061" w:themeColor="accent1" w:themeShade="80"/>
          <w:sz w:val="28"/>
          <w:szCs w:val="28"/>
        </w:rPr>
        <w:t>i</w:t>
      </w:r>
      <w:r>
        <w:rPr>
          <w:b/>
          <w:bCs/>
          <w:color w:val="244061" w:themeColor="accent1" w:themeShade="80"/>
          <w:sz w:val="28"/>
          <w:szCs w:val="28"/>
        </w:rPr>
        <w:t xml:space="preserve">nclusion </w:t>
      </w:r>
    </w:p>
    <w:p w14:paraId="017ADE09" w14:textId="28C21805" w:rsidR="00080396" w:rsidRDefault="00996AA9" w:rsidP="00080396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The </w:t>
      </w:r>
      <w:r w:rsidR="00080396">
        <w:rPr>
          <w:color w:val="244061" w:themeColor="accent1" w:themeShade="80"/>
        </w:rPr>
        <w:t xml:space="preserve">British American </w:t>
      </w:r>
      <w:r>
        <w:rPr>
          <w:color w:val="244061" w:themeColor="accent1" w:themeShade="80"/>
        </w:rPr>
        <w:t>F</w:t>
      </w:r>
      <w:r w:rsidR="00080396">
        <w:rPr>
          <w:color w:val="244061" w:themeColor="accent1" w:themeShade="80"/>
        </w:rPr>
        <w:t xml:space="preserve">ootball </w:t>
      </w:r>
      <w:r>
        <w:rPr>
          <w:color w:val="244061" w:themeColor="accent1" w:themeShade="80"/>
        </w:rPr>
        <w:t xml:space="preserve">Association </w:t>
      </w:r>
      <w:r w:rsidR="00080396">
        <w:rPr>
          <w:color w:val="244061" w:themeColor="accent1" w:themeShade="80"/>
        </w:rPr>
        <w:t>embraces equality, diversity and inclusion both on and off the field of play</w:t>
      </w:r>
      <w:r w:rsidR="009C4507">
        <w:rPr>
          <w:color w:val="244061" w:themeColor="accent1" w:themeShade="80"/>
        </w:rPr>
        <w:t>,</w:t>
      </w:r>
      <w:r w:rsidR="00080396">
        <w:rPr>
          <w:color w:val="244061" w:themeColor="accent1" w:themeShade="80"/>
        </w:rPr>
        <w:t xml:space="preserve"> where everyone can bring their whole selves to the organisation</w:t>
      </w:r>
      <w:r w:rsidR="009C4507">
        <w:rPr>
          <w:color w:val="244061" w:themeColor="accent1" w:themeShade="80"/>
        </w:rPr>
        <w:t xml:space="preserve">. We </w:t>
      </w:r>
      <w:r w:rsidR="00080396">
        <w:rPr>
          <w:color w:val="244061" w:themeColor="accent1" w:themeShade="80"/>
        </w:rPr>
        <w:t>encourage job applications from suitably qualified and eligible candidates irrespective of their gender, ethnicity, religion, belief or sexual orientation.</w:t>
      </w:r>
    </w:p>
    <w:p w14:paraId="778C10D1" w14:textId="0D25ECFD" w:rsidR="009C4507" w:rsidRDefault="009C4507" w:rsidP="00080396">
      <w:pPr>
        <w:rPr>
          <w:color w:val="244061" w:themeColor="accent1" w:themeShade="80"/>
        </w:rPr>
      </w:pPr>
    </w:p>
    <w:p w14:paraId="68A91BC9" w14:textId="575C0613" w:rsidR="009C4507" w:rsidRDefault="009C4507" w:rsidP="009C4507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 xml:space="preserve">How to apply </w:t>
      </w:r>
    </w:p>
    <w:p w14:paraId="3A9BE2D6" w14:textId="6BF504CE" w:rsidR="009C4507" w:rsidRPr="00080396" w:rsidRDefault="00187013" w:rsidP="009C4507">
      <w:pPr>
        <w:rPr>
          <w:color w:val="244061" w:themeColor="accent1" w:themeShade="80"/>
        </w:rPr>
      </w:pPr>
      <w:r w:rsidRPr="00187013">
        <w:rPr>
          <w:color w:val="244061" w:themeColor="accent1" w:themeShade="80"/>
        </w:rPr>
        <w:t xml:space="preserve">If you are interested and meet the qualifications please send your CV and cover letter to Nichole McCulloch, </w:t>
      </w:r>
      <w:r>
        <w:rPr>
          <w:color w:val="244061" w:themeColor="accent1" w:themeShade="80"/>
        </w:rPr>
        <w:t xml:space="preserve">BAFA </w:t>
      </w:r>
      <w:r w:rsidRPr="00187013">
        <w:rPr>
          <w:color w:val="244061" w:themeColor="accent1" w:themeShade="80"/>
        </w:rPr>
        <w:t xml:space="preserve">Chair </w:t>
      </w:r>
      <w:r>
        <w:rPr>
          <w:color w:val="244061" w:themeColor="accent1" w:themeShade="80"/>
        </w:rPr>
        <w:t>(</w:t>
      </w:r>
      <w:r w:rsidRPr="00187013">
        <w:rPr>
          <w:color w:val="244061" w:themeColor="accent1" w:themeShade="80"/>
        </w:rPr>
        <w:t>nichole.mcculloch@britishamericanfootball.org</w:t>
      </w:r>
      <w:r>
        <w:rPr>
          <w:color w:val="244061" w:themeColor="accent1" w:themeShade="80"/>
        </w:rPr>
        <w:t>)</w:t>
      </w:r>
      <w:r w:rsidRPr="00187013">
        <w:rPr>
          <w:color w:val="244061" w:themeColor="accent1" w:themeShade="80"/>
        </w:rPr>
        <w:t xml:space="preserve"> no later than the 22</w:t>
      </w:r>
      <w:r w:rsidRPr="00187013">
        <w:rPr>
          <w:color w:val="244061" w:themeColor="accent1" w:themeShade="80"/>
          <w:vertAlign w:val="superscript"/>
        </w:rPr>
        <w:t>nd</w:t>
      </w:r>
      <w:r>
        <w:rPr>
          <w:color w:val="244061" w:themeColor="accent1" w:themeShade="80"/>
        </w:rPr>
        <w:t xml:space="preserve"> </w:t>
      </w:r>
      <w:r w:rsidRPr="00187013">
        <w:rPr>
          <w:color w:val="244061" w:themeColor="accent1" w:themeShade="80"/>
        </w:rPr>
        <w:t>January</w:t>
      </w:r>
      <w:r>
        <w:rPr>
          <w:color w:val="244061" w:themeColor="accent1" w:themeShade="80"/>
        </w:rPr>
        <w:t xml:space="preserve"> 2021</w:t>
      </w:r>
      <w:r w:rsidRPr="00187013">
        <w:rPr>
          <w:color w:val="244061" w:themeColor="accent1" w:themeShade="80"/>
        </w:rPr>
        <w:t>. Interviews will be conducted shortly after.</w:t>
      </w:r>
    </w:p>
    <w:p w14:paraId="03016C6C" w14:textId="77777777" w:rsidR="009C4507" w:rsidRDefault="009C4507" w:rsidP="00080396">
      <w:pPr>
        <w:rPr>
          <w:color w:val="244061" w:themeColor="accent1" w:themeShade="80"/>
        </w:rPr>
      </w:pPr>
    </w:p>
    <w:p w14:paraId="08AEC0F1" w14:textId="77777777" w:rsidR="00080396" w:rsidRDefault="00080396" w:rsidP="00080396">
      <w:pPr>
        <w:rPr>
          <w:color w:val="244061" w:themeColor="accent1" w:themeShade="80"/>
        </w:rPr>
      </w:pPr>
    </w:p>
    <w:p w14:paraId="7BE9574F" w14:textId="77777777" w:rsidR="002C0983" w:rsidRDefault="002C0983">
      <w:pPr>
        <w:shd w:val="clear" w:color="auto" w:fill="FFFFFF"/>
        <w:ind w:left="-450"/>
        <w:rPr>
          <w:sz w:val="18"/>
          <w:szCs w:val="18"/>
        </w:rPr>
      </w:pPr>
    </w:p>
    <w:sectPr w:rsidR="002C0983">
      <w:headerReference w:type="default" r:id="rId7"/>
      <w:footerReference w:type="default" r:id="rId8"/>
      <w:pgSz w:w="12240" w:h="15840"/>
      <w:pgMar w:top="252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40351" w14:textId="77777777" w:rsidR="005934E4" w:rsidRDefault="005934E4">
      <w:pPr>
        <w:spacing w:line="240" w:lineRule="auto"/>
      </w:pPr>
      <w:r>
        <w:separator/>
      </w:r>
    </w:p>
  </w:endnote>
  <w:endnote w:type="continuationSeparator" w:id="0">
    <w:p w14:paraId="1CC4AA22" w14:textId="77777777" w:rsidR="005934E4" w:rsidRDefault="00593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C912" w14:textId="77777777" w:rsidR="002C0983" w:rsidRDefault="002C0983">
    <w:pPr>
      <w:jc w:val="center"/>
      <w:rPr>
        <w:b/>
        <w:color w:val="666666"/>
        <w:sz w:val="18"/>
        <w:szCs w:val="18"/>
      </w:rPr>
    </w:pPr>
  </w:p>
  <w:tbl>
    <w:tblPr>
      <w:tblStyle w:val="a"/>
      <w:tblW w:w="835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960"/>
      <w:gridCol w:w="4395"/>
    </w:tblGrid>
    <w:tr w:rsidR="002C0983" w14:paraId="5E05062A" w14:textId="77777777">
      <w:trPr>
        <w:jc w:val="center"/>
      </w:trPr>
      <w:tc>
        <w:tcPr>
          <w:tcW w:w="39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3F8F6E" w14:textId="77777777" w:rsidR="002C0983" w:rsidRDefault="0099329A">
          <w:pPr>
            <w:shd w:val="clear" w:color="auto" w:fill="FFFFFF"/>
            <w:ind w:left="-450"/>
            <w:jc w:val="right"/>
            <w:rPr>
              <w:b/>
              <w:color w:val="666666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114300" distB="114300" distL="114300" distR="114300" wp14:anchorId="67314B2B" wp14:editId="691D8E35">
                <wp:extent cx="1919288" cy="463720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t="29964" b="377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288" cy="463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tcBorders>
            <w:top w:val="single" w:sz="8" w:space="0" w:color="FFFFFF"/>
            <w:left w:val="single" w:sz="8" w:space="0" w:color="999999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76E4B45" w14:textId="77777777" w:rsidR="002C0983" w:rsidRDefault="0099329A">
          <w:pPr>
            <w:rPr>
              <w:b/>
              <w:color w:val="666666"/>
              <w:sz w:val="18"/>
              <w:szCs w:val="18"/>
            </w:rPr>
          </w:pPr>
          <w:r>
            <w:rPr>
              <w:b/>
              <w:color w:val="666666"/>
              <w:sz w:val="18"/>
              <w:szCs w:val="18"/>
            </w:rPr>
            <w:t xml:space="preserve">       British American Football Association</w:t>
          </w:r>
        </w:p>
        <w:p w14:paraId="5D4A8DE0" w14:textId="77777777" w:rsidR="002C0983" w:rsidRDefault="0099329A">
          <w:pPr>
            <w:shd w:val="clear" w:color="auto" w:fill="FFFFFF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       3rd Floor, 44 Peter Street, Manchester</w:t>
          </w:r>
        </w:p>
        <w:p w14:paraId="1031B54D" w14:textId="77777777" w:rsidR="002C0983" w:rsidRDefault="0099329A">
          <w:pPr>
            <w:shd w:val="clear" w:color="auto" w:fill="FFFFFF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       M2 5GP</w:t>
          </w:r>
        </w:p>
      </w:tc>
    </w:tr>
  </w:tbl>
  <w:p w14:paraId="01CA6622" w14:textId="77777777" w:rsidR="002C0983" w:rsidRDefault="002C0983">
    <w:pPr>
      <w:shd w:val="clear" w:color="auto" w:fill="FFFFFF"/>
      <w:rPr>
        <w:color w:val="222222"/>
      </w:rPr>
    </w:pPr>
  </w:p>
  <w:p w14:paraId="4CBCD6E8" w14:textId="77777777" w:rsidR="002C0983" w:rsidRDefault="002C0983">
    <w:pPr>
      <w:shd w:val="clear" w:color="auto" w:fill="FFFFFF"/>
      <w:ind w:left="-450"/>
      <w:rPr>
        <w:color w:val="22222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BC9A2" w14:textId="77777777" w:rsidR="005934E4" w:rsidRDefault="005934E4">
      <w:pPr>
        <w:spacing w:line="240" w:lineRule="auto"/>
      </w:pPr>
      <w:r>
        <w:separator/>
      </w:r>
    </w:p>
  </w:footnote>
  <w:footnote w:type="continuationSeparator" w:id="0">
    <w:p w14:paraId="0F6ADCB1" w14:textId="77777777" w:rsidR="005934E4" w:rsidRDefault="00593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076D" w14:textId="77777777" w:rsidR="002C0983" w:rsidRDefault="002C0983">
    <w:pPr>
      <w:shd w:val="clear" w:color="auto" w:fill="FFFFFF"/>
      <w:rPr>
        <w:color w:val="222222"/>
      </w:rPr>
    </w:pPr>
  </w:p>
  <w:p w14:paraId="5E41D436" w14:textId="77777777" w:rsidR="002C0983" w:rsidRDefault="0099329A">
    <w:pPr>
      <w:shd w:val="clear" w:color="auto" w:fill="FFFFFF"/>
      <w:jc w:val="center"/>
      <w:rPr>
        <w:color w:val="222222"/>
      </w:rPr>
    </w:pPr>
    <w:r>
      <w:rPr>
        <w:noProof/>
      </w:rPr>
      <w:drawing>
        <wp:inline distT="114300" distB="114300" distL="114300" distR="114300" wp14:anchorId="5C995D21" wp14:editId="02969DD3">
          <wp:extent cx="1157288" cy="109448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288" cy="1094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648D"/>
    <w:multiLevelType w:val="hybridMultilevel"/>
    <w:tmpl w:val="731A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305A"/>
    <w:multiLevelType w:val="hybridMultilevel"/>
    <w:tmpl w:val="36A2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56EE"/>
    <w:multiLevelType w:val="hybridMultilevel"/>
    <w:tmpl w:val="B072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491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90939"/>
    <w:multiLevelType w:val="hybridMultilevel"/>
    <w:tmpl w:val="E6B6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83"/>
    <w:rsid w:val="00080396"/>
    <w:rsid w:val="00187013"/>
    <w:rsid w:val="002C0983"/>
    <w:rsid w:val="00305777"/>
    <w:rsid w:val="005934E4"/>
    <w:rsid w:val="00644EFB"/>
    <w:rsid w:val="006E3A08"/>
    <w:rsid w:val="0099329A"/>
    <w:rsid w:val="00996AA9"/>
    <w:rsid w:val="009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885A"/>
  <w15:docId w15:val="{35822AB0-FB77-42A1-8659-93B1B846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803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Platt</cp:lastModifiedBy>
  <cp:revision>3</cp:revision>
  <dcterms:created xsi:type="dcterms:W3CDTF">2021-01-14T10:14:00Z</dcterms:created>
  <dcterms:modified xsi:type="dcterms:W3CDTF">2021-01-14T10:20:00Z</dcterms:modified>
</cp:coreProperties>
</file>